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>Seine Exzellenz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</w:rPr>
        <w:t>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it-IT"/>
        </w:rPr>
        <w:t>sident Massud Peseschkian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c/o Botschaft der Islamischen Republik Iran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</w:rPr>
        <w:t>Podbielskiallee 65-67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D14195 Berlin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"mailto:info@iranbotschaft.de"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info@iranbotschaft.de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erlauben Sie mir, Ihre Aufmerksamkeit auf das Schicksal von </w:t>
      </w:r>
      <w:r>
        <w:rPr>
          <w:rFonts w:ascii="Arial" w:hAnsi="Arial"/>
          <w:sz w:val="24"/>
          <w:szCs w:val="24"/>
          <w:rtl w:val="0"/>
          <w:lang w:val="de-DE"/>
        </w:rPr>
        <w:t xml:space="preserve">Frau </w:t>
      </w:r>
      <w:r>
        <w:rPr>
          <w:rFonts w:ascii="Arial" w:hAnsi="Arial"/>
          <w:b w:val="1"/>
          <w:bCs w:val="1"/>
          <w:sz w:val="24"/>
          <w:szCs w:val="24"/>
          <w:rtl w:val="0"/>
        </w:rPr>
        <w:t>Nahid Behrouzi (Forouhari)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zu lenken.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Die</w:t>
      </w:r>
      <w:r>
        <w:rPr>
          <w:rFonts w:ascii="Arial" w:hAnsi="Arial"/>
          <w:sz w:val="24"/>
          <w:szCs w:val="24"/>
          <w:rtl w:val="0"/>
          <w:lang w:val="nl-NL"/>
        </w:rPr>
        <w:t xml:space="preserve"> 63-j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hrige Bah</w:t>
      </w:r>
      <w:r>
        <w:rPr>
          <w:rFonts w:ascii="Arial" w:hAnsi="Arial" w:hint="default"/>
          <w:sz w:val="24"/>
          <w:szCs w:val="24"/>
          <w:rtl w:val="0"/>
          <w:lang w:val="pt-PT"/>
        </w:rPr>
        <w:t>á’í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 xml:space="preserve">, </w:t>
      </w:r>
      <w:r>
        <w:rPr>
          <w:rFonts w:ascii="Arial" w:hAnsi="Arial"/>
          <w:sz w:val="24"/>
          <w:szCs w:val="24"/>
          <w:rtl w:val="0"/>
          <w:lang w:val="de-DE"/>
        </w:rPr>
        <w:t>Hausfrau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aus Karaj mit einem Highschool-Abschluss und ohne jegliche politische, mediale oder p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dagogische Aktivit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ten</w:t>
      </w:r>
      <w:r>
        <w:rPr>
          <w:rFonts w:ascii="Arial" w:hAnsi="Arial"/>
          <w:sz w:val="24"/>
          <w:szCs w:val="24"/>
          <w:rtl w:val="0"/>
          <w:lang w:val="de-DE"/>
        </w:rPr>
        <w:t xml:space="preserve">, wurde am 06. Oktober 2025 </w:t>
      </w:r>
      <w:r>
        <w:rPr>
          <w:rFonts w:ascii="Arial" w:hAnsi="Arial"/>
          <w:sz w:val="24"/>
          <w:szCs w:val="24"/>
          <w:rtl w:val="0"/>
          <w:lang w:val="de-DE"/>
        </w:rPr>
        <w:t xml:space="preserve"> von der 4. Kammer des Revolutionsgerichts von Karaj zu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nf Jahren Haft und weiteren Strafen verurteilt. </w:t>
      </w:r>
    </w:p>
    <w:p>
      <w:pPr>
        <w:pStyle w:val="Text"/>
        <w:rPr>
          <w:sz w:val="24"/>
          <w:szCs w:val="24"/>
        </w:rPr>
      </w:pPr>
    </w:p>
    <w:p>
      <w:pPr>
        <w:pStyle w:val="Text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Das Urteil erging gem</w:t>
      </w:r>
      <w:r>
        <w:rPr>
          <w:sz w:val="24"/>
          <w:szCs w:val="24"/>
          <w:rtl w:val="0"/>
          <w:lang w:val="de-DE"/>
        </w:rPr>
        <w:t xml:space="preserve">äß </w:t>
      </w:r>
      <w:r>
        <w:rPr>
          <w:sz w:val="24"/>
          <w:szCs w:val="24"/>
          <w:rtl w:val="0"/>
          <w:lang w:val="de-DE"/>
        </w:rPr>
        <w:t>Artikel 500 bis des islamischen Strafgesetzbuches und</w:t>
      </w:r>
      <w:r>
        <w:rPr>
          <w:sz w:val="24"/>
          <w:szCs w:val="24"/>
          <w:rtl w:val="0"/>
          <w:lang w:val="de-DE"/>
        </w:rPr>
        <w:t xml:space="preserve"> wurde begr</w:t>
      </w:r>
      <w:r>
        <w:rPr>
          <w:sz w:val="24"/>
          <w:szCs w:val="24"/>
          <w:rtl w:val="0"/>
          <w:lang w:val="de-DE"/>
        </w:rPr>
        <w:t>ü</w:t>
      </w:r>
      <w:r>
        <w:rPr>
          <w:sz w:val="24"/>
          <w:szCs w:val="24"/>
          <w:rtl w:val="0"/>
          <w:lang w:val="de-DE"/>
        </w:rPr>
        <w:t>ndet</w:t>
      </w:r>
      <w:r>
        <w:rPr>
          <w:sz w:val="24"/>
          <w:szCs w:val="24"/>
          <w:rtl w:val="0"/>
          <w:lang w:val="de-DE"/>
        </w:rPr>
        <w:t xml:space="preserve"> mit </w:t>
      </w:r>
      <w:r>
        <w:rPr>
          <w:sz w:val="24"/>
          <w:szCs w:val="24"/>
          <w:rtl w:val="0"/>
        </w:rPr>
        <w:t>„</w:t>
      </w:r>
      <w:r>
        <w:rPr>
          <w:sz w:val="24"/>
          <w:szCs w:val="24"/>
          <w:rtl w:val="0"/>
          <w:lang w:val="de-DE"/>
        </w:rPr>
        <w:t>abweichenden, dem Islam widersprechenden Bildungs- oder Propagandaaktivit</w:t>
      </w:r>
      <w:r>
        <w:rPr>
          <w:sz w:val="24"/>
          <w:szCs w:val="24"/>
          <w:rtl w:val="0"/>
        </w:rPr>
        <w:t>ä</w:t>
      </w:r>
      <w:r>
        <w:rPr>
          <w:sz w:val="24"/>
          <w:szCs w:val="24"/>
          <w:rtl w:val="0"/>
        </w:rPr>
        <w:t>ten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de-DE"/>
        </w:rPr>
        <w:t>, einschlie</w:t>
      </w:r>
      <w:r>
        <w:rPr>
          <w:sz w:val="24"/>
          <w:szCs w:val="24"/>
          <w:rtl w:val="0"/>
          <w:lang w:val="de-DE"/>
        </w:rPr>
        <w:t>ß</w:t>
      </w:r>
      <w:r>
        <w:rPr>
          <w:sz w:val="24"/>
          <w:szCs w:val="24"/>
          <w:rtl w:val="0"/>
          <w:lang w:val="de-DE"/>
        </w:rPr>
        <w:t xml:space="preserve">lich </w:t>
      </w:r>
      <w:r>
        <w:rPr>
          <w:sz w:val="24"/>
          <w:szCs w:val="24"/>
          <w:rtl w:val="0"/>
        </w:rPr>
        <w:t>„</w:t>
      </w:r>
      <w:r>
        <w:rPr>
          <w:sz w:val="24"/>
          <w:szCs w:val="24"/>
          <w:rtl w:val="0"/>
          <w:lang w:val="de-DE"/>
        </w:rPr>
        <w:t>psychologischer Indoktrination</w:t>
      </w:r>
      <w:r>
        <w:rPr>
          <w:sz w:val="24"/>
          <w:szCs w:val="24"/>
          <w:rtl w:val="0"/>
          <w:lang w:val="de-DE"/>
        </w:rPr>
        <w:t xml:space="preserve">“ </w:t>
      </w:r>
      <w:r>
        <w:rPr>
          <w:sz w:val="24"/>
          <w:szCs w:val="24"/>
          <w:rtl w:val="0"/>
          <w:lang w:val="de-DE"/>
        </w:rPr>
        <w:t xml:space="preserve">oder </w:t>
      </w:r>
      <w:r>
        <w:rPr>
          <w:sz w:val="24"/>
          <w:szCs w:val="24"/>
          <w:rtl w:val="0"/>
        </w:rPr>
        <w:t>„</w:t>
      </w:r>
      <w:r>
        <w:rPr>
          <w:sz w:val="24"/>
          <w:szCs w:val="24"/>
          <w:rtl w:val="0"/>
          <w:lang w:val="de-DE"/>
        </w:rPr>
        <w:t>Gedankenkontrolle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de-DE"/>
        </w:rPr>
        <w:t>, obwohl keine Beweise oder Dokumente zur Untermauerung dieser Anschuldigungen vorgelegt wurden.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Das Urteil macht deutlich, dass die Verurteilung ausschlie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  <w:lang w:val="de-DE"/>
        </w:rPr>
        <w:t>lich auf Grund ihrer Zugeh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rigkeit zur Bah</w:t>
      </w:r>
      <w:r>
        <w:rPr>
          <w:rFonts w:ascii="Arial" w:hAnsi="Arial" w:hint="default"/>
          <w:sz w:val="24"/>
          <w:szCs w:val="24"/>
          <w:rtl w:val="0"/>
          <w:lang w:val="de-DE"/>
        </w:rPr>
        <w:t>á’í</w:t>
      </w:r>
      <w:r>
        <w:rPr>
          <w:rFonts w:ascii="Arial" w:hAnsi="Arial"/>
          <w:sz w:val="24"/>
          <w:szCs w:val="24"/>
          <w:rtl w:val="0"/>
          <w:lang w:val="de-DE"/>
        </w:rPr>
        <w:t xml:space="preserve">-Gemeinde erfolgte und das, obwohl Ihr Land den Internationalen Pakt 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b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rgerliche und politische Rechte ratizifiert hat, dessen Artikel 18 die Religionsfreiheit garantiert.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Aus diesem Grunde bitte ich Sie, sich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Freilassung von Nahid Behrouzi und die Aufhebung des Urteils einzusetzen.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Amt,</w:t>
      </w:r>
      <w:r>
        <w:rPr>
          <w:rFonts w:ascii="Arial" w:hAnsi="Arial"/>
          <w:sz w:val="24"/>
          <w:szCs w:val="24"/>
          <w:rtl w:val="0"/>
          <w:lang w:val="de-DE"/>
        </w:rPr>
        <w:t xml:space="preserve">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shd w:val="clear" w:color="auto" w:fill="ffffff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